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0A" w:rsidRPr="009D0160" w:rsidRDefault="00D8200A" w:rsidP="009D01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9D0160">
        <w:rPr>
          <w:rFonts w:ascii="Times New Roman" w:eastAsia="Times New Roman" w:hAnsi="Times New Roman" w:cs="Times New Roman"/>
          <w:b/>
          <w:szCs w:val="21"/>
          <w:lang w:eastAsia="ru-RU"/>
        </w:rPr>
        <w:t xml:space="preserve">ТЗ на </w:t>
      </w:r>
      <w:r w:rsidR="006207C7">
        <w:rPr>
          <w:rFonts w:ascii="Times New Roman" w:eastAsia="Times New Roman" w:hAnsi="Times New Roman" w:cs="Times New Roman"/>
          <w:b/>
          <w:szCs w:val="21"/>
          <w:lang w:eastAsia="ru-RU"/>
        </w:rPr>
        <w:t>миксер</w:t>
      </w:r>
      <w:r w:rsidRPr="009D0160">
        <w:rPr>
          <w:rFonts w:ascii="Times New Roman" w:eastAsia="Times New Roman" w:hAnsi="Times New Roman" w:cs="Times New Roman"/>
          <w:b/>
          <w:szCs w:val="21"/>
          <w:lang w:eastAsia="ru-RU"/>
        </w:rPr>
        <w:t xml:space="preserve"> </w:t>
      </w:r>
      <w:r w:rsidR="00C91F48">
        <w:rPr>
          <w:rFonts w:ascii="Times New Roman" w:eastAsia="Times New Roman" w:hAnsi="Times New Roman" w:cs="Times New Roman"/>
          <w:b/>
          <w:szCs w:val="21"/>
          <w:lang w:eastAsia="ru-RU"/>
        </w:rPr>
        <w:t>12</w:t>
      </w:r>
      <w:r w:rsidRPr="009D0160">
        <w:rPr>
          <w:rFonts w:ascii="Times New Roman" w:eastAsia="Times New Roman" w:hAnsi="Times New Roman" w:cs="Times New Roman"/>
          <w:b/>
          <w:szCs w:val="21"/>
          <w:lang w:eastAsia="ru-RU"/>
        </w:rPr>
        <w:t>м3</w:t>
      </w:r>
      <w:r w:rsidR="009D0160">
        <w:rPr>
          <w:rFonts w:ascii="Times New Roman" w:eastAsia="Times New Roman" w:hAnsi="Times New Roman" w:cs="Times New Roman"/>
          <w:b/>
          <w:szCs w:val="21"/>
          <w:lang w:eastAsia="ru-RU"/>
        </w:rPr>
        <w:t xml:space="preserve"> для КРС</w:t>
      </w:r>
    </w:p>
    <w:p w:rsidR="00D8200A" w:rsidRPr="009D0160" w:rsidRDefault="00D8200A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F635F" w:rsidRPr="009323EA" w:rsidRDefault="006207C7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Миксер 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предназначен для выполнения работ при текущем и капитальном ремонте нефтяных и газовых скважин (</w:t>
      </w: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приготовления растворов для 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глушения скважин,</w:t>
      </w:r>
      <w:r w:rsidR="00334FC0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334FC0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тампонажных</w:t>
      </w:r>
      <w:proofErr w:type="spellEnd"/>
      <w:r w:rsidR="00334FC0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растворов и других тампонирующих смесей,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эмульсий</w:t>
      </w:r>
      <w:r w:rsidR="00334FC0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при проведение ремонтно-изоляционных работ на нефтяных и газовых </w:t>
      </w:r>
      <w:r w:rsidR="00FF1F2D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скважинах.</w:t>
      </w:r>
    </w:p>
    <w:p w:rsidR="00334FC0" w:rsidRPr="009323EA" w:rsidRDefault="00334FC0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Миксер представляет собой </w:t>
      </w:r>
      <w:r w:rsidR="00D9060C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емкость,</w:t>
      </w: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оборудован</w:t>
      </w:r>
      <w:r w:rsidR="00245463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ная</w:t>
      </w: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лопастными мешалками с приводом от электродвигателя через редуктор и цепную передачу. Отсек оборудован линиями наполнения водой, трубопроводами и люками загрузки цемента, сливными поворотными затворами, шкалой уровня. Для контроля приготовления цементного раствора миксер оборудован освещаемой площадкой обслуживания с пультом управления</w:t>
      </w:r>
    </w:p>
    <w:p w:rsidR="003F635F" w:rsidRPr="009323EA" w:rsidRDefault="00C91F48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Миксер 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может применяться для работы с солевыми растворами плотностью от 1 до 1,36 кг/см³, технологическими жидкостями, гелями на водной основе (техническая вода, естественные буровые растворы, глинистые и неглинистые растворы, обратные эмульсионные растворы, гели</w:t>
      </w:r>
      <w:r w:rsidR="009323EA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, цементные раст</w:t>
      </w:r>
      <w:r w:rsidR="00245463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воры)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="00245463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Емкость</w:t>
      </w:r>
      <w:r w:rsidR="003F635F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размещен</w:t>
      </w:r>
      <w:r w:rsidR="00245463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а на санях, на ложементах.</w:t>
      </w:r>
    </w:p>
    <w:p w:rsidR="00D8200A" w:rsidRPr="009323EA" w:rsidRDefault="00D8200A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Состав и конструктивное устройство:</w:t>
      </w:r>
    </w:p>
    <w:p w:rsidR="00D8200A" w:rsidRPr="009323EA" w:rsidRDefault="00D8200A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1) </w:t>
      </w:r>
      <w:r w:rsidR="00801140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емкость,</w:t>
      </w: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закрепленная на раме</w:t>
      </w:r>
    </w:p>
    <w:p w:rsidR="00D8200A" w:rsidRPr="009323EA" w:rsidRDefault="00EA3276" w:rsidP="009D016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2</w:t>
      </w:r>
      <w:r w:rsidR="00D8200A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) грузоподъемность в стационарном положении</w:t>
      </w:r>
      <w:r w:rsidR="0015774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D8200A" w:rsidRPr="009323EA">
        <w:rPr>
          <w:rFonts w:ascii="Times New Roman" w:eastAsia="Times New Roman" w:hAnsi="Times New Roman" w:cs="Times New Roman"/>
          <w:sz w:val="21"/>
          <w:szCs w:val="21"/>
          <w:lang w:eastAsia="ru-RU"/>
        </w:rPr>
        <w:t>– 40 тонн;</w:t>
      </w:r>
    </w:p>
    <w:p w:rsidR="003F635F" w:rsidRPr="009323EA" w:rsidRDefault="00D8200A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Требования к </w:t>
      </w:r>
      <w:r w:rsidR="007752E3" w:rsidRPr="009323EA">
        <w:rPr>
          <w:rFonts w:ascii="Times New Roman" w:hAnsi="Times New Roman" w:cs="Times New Roman"/>
        </w:rPr>
        <w:t>миксеру</w:t>
      </w:r>
    </w:p>
    <w:p w:rsidR="003F635F" w:rsidRPr="009323EA" w:rsidRDefault="003F635F" w:rsidP="0080114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рабочая сторона емкости – противоположная тягово-сцепному устройству;</w:t>
      </w:r>
    </w:p>
    <w:p w:rsidR="00801140" w:rsidRPr="009323EA" w:rsidRDefault="00801140" w:rsidP="0080114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наличие уровнемера</w:t>
      </w:r>
    </w:p>
    <w:p w:rsidR="00801140" w:rsidRPr="009323EA" w:rsidRDefault="00801140" w:rsidP="00F7397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крепежных элементов для погрузки</w:t>
      </w:r>
    </w:p>
    <w:p w:rsidR="00801140" w:rsidRPr="009323EA" w:rsidRDefault="003F635F" w:rsidP="007555F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высота расположения присоединительных узлов патрубков рабочей стороны емкости не более 1 м от поверхности грунта;</w:t>
      </w:r>
    </w:p>
    <w:p w:rsidR="00801140" w:rsidRPr="009323EA" w:rsidRDefault="003F635F" w:rsidP="009D016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присоединительные узлы патрубков должны иметь достаточную прочность обеспечивающую возможность сборки узла соединения БРС ударами кувалды</w:t>
      </w:r>
    </w:p>
    <w:p w:rsidR="00FF1F2D" w:rsidRPr="009323EA" w:rsidRDefault="00FF1F2D" w:rsidP="009D016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число оборо</w:t>
      </w:r>
      <w:r w:rsidR="003E1DA5">
        <w:rPr>
          <w:rFonts w:ascii="Times New Roman" w:hAnsi="Times New Roman" w:cs="Times New Roman"/>
        </w:rPr>
        <w:t>тов мешалки не менее 240 об/мин</w:t>
      </w:r>
      <w:r w:rsidR="003E1DA5" w:rsidRPr="003E1DA5">
        <w:rPr>
          <w:rFonts w:ascii="Times New Roman" w:hAnsi="Times New Roman" w:cs="Times New Roman"/>
        </w:rPr>
        <w:t xml:space="preserve"> </w:t>
      </w:r>
      <w:r w:rsidR="003E1DA5">
        <w:rPr>
          <w:rFonts w:ascii="Times New Roman" w:hAnsi="Times New Roman" w:cs="Times New Roman"/>
        </w:rPr>
        <w:t>с возможностью регулировки числа оборотов</w:t>
      </w:r>
    </w:p>
    <w:p w:rsidR="00801140" w:rsidRPr="009323EA" w:rsidRDefault="00801140" w:rsidP="00801140">
      <w:pPr>
        <w:pStyle w:val="a5"/>
        <w:ind w:left="765"/>
        <w:jc w:val="both"/>
        <w:rPr>
          <w:rFonts w:ascii="Times New Roman" w:hAnsi="Times New Roman" w:cs="Times New Roman"/>
        </w:rPr>
      </w:pP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Применяемые технологические жидкости: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1)    водные растворы СaСL2, </w:t>
      </w:r>
      <w:proofErr w:type="spellStart"/>
      <w:r w:rsidRPr="009323EA">
        <w:rPr>
          <w:rFonts w:ascii="Times New Roman" w:hAnsi="Times New Roman" w:cs="Times New Roman"/>
        </w:rPr>
        <w:t>NaCL</w:t>
      </w:r>
      <w:proofErr w:type="spellEnd"/>
      <w:r w:rsidRPr="009323EA">
        <w:rPr>
          <w:rFonts w:ascii="Times New Roman" w:hAnsi="Times New Roman" w:cs="Times New Roman"/>
        </w:rPr>
        <w:t xml:space="preserve">, KCL, сильвинит с добавлением </w:t>
      </w:r>
      <w:proofErr w:type="spellStart"/>
      <w:r w:rsidRPr="009323EA">
        <w:rPr>
          <w:rFonts w:ascii="Times New Roman" w:hAnsi="Times New Roman" w:cs="Times New Roman"/>
        </w:rPr>
        <w:t>химреагентов</w:t>
      </w:r>
      <w:proofErr w:type="spellEnd"/>
      <w:r w:rsidRPr="009323EA">
        <w:rPr>
          <w:rFonts w:ascii="Times New Roman" w:hAnsi="Times New Roman" w:cs="Times New Roman"/>
        </w:rPr>
        <w:t>;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2)    </w:t>
      </w:r>
      <w:proofErr w:type="spellStart"/>
      <w:r w:rsidRPr="009323EA">
        <w:rPr>
          <w:rFonts w:ascii="Times New Roman" w:hAnsi="Times New Roman" w:cs="Times New Roman"/>
        </w:rPr>
        <w:t>нефтеводяная</w:t>
      </w:r>
      <w:proofErr w:type="spellEnd"/>
      <w:r w:rsidRPr="009323EA">
        <w:rPr>
          <w:rFonts w:ascii="Times New Roman" w:hAnsi="Times New Roman" w:cs="Times New Roman"/>
        </w:rPr>
        <w:t xml:space="preserve"> смесь;</w:t>
      </w:r>
    </w:p>
    <w:p w:rsidR="00EB1548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3)    нефть, нефтепродукты</w:t>
      </w:r>
    </w:p>
    <w:p w:rsidR="003F635F" w:rsidRPr="009323EA" w:rsidRDefault="00EB1548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4)    цементный раствор </w:t>
      </w:r>
    </w:p>
    <w:p w:rsidR="00EB1548" w:rsidRPr="009323EA" w:rsidRDefault="00EB1548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5)    водонефтяная эмульсия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Характеристика среды в емкости: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 </w:t>
      </w:r>
      <w:proofErr w:type="spellStart"/>
      <w:r w:rsidRPr="009323EA">
        <w:rPr>
          <w:rFonts w:ascii="Times New Roman" w:hAnsi="Times New Roman" w:cs="Times New Roman"/>
        </w:rPr>
        <w:t>взрыво</w:t>
      </w:r>
      <w:proofErr w:type="spellEnd"/>
      <w:r w:rsidRPr="009323EA">
        <w:rPr>
          <w:rFonts w:ascii="Times New Roman" w:hAnsi="Times New Roman" w:cs="Times New Roman"/>
        </w:rPr>
        <w:t xml:space="preserve"> - пожароопасная, коррозионная, токсичная. Класс опасности среды 3 по ГОСТ 12.01.007.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Температура </w:t>
      </w:r>
      <w:r w:rsidR="00D9060C" w:rsidRPr="009323EA">
        <w:rPr>
          <w:rFonts w:ascii="Times New Roman" w:hAnsi="Times New Roman" w:cs="Times New Roman"/>
        </w:rPr>
        <w:t>эксплуатации</w:t>
      </w:r>
      <w:r w:rsidRPr="009323EA">
        <w:rPr>
          <w:rFonts w:ascii="Times New Roman" w:hAnsi="Times New Roman" w:cs="Times New Roman"/>
        </w:rPr>
        <w:t>:</w:t>
      </w:r>
    </w:p>
    <w:p w:rsidR="003F635F" w:rsidRPr="009323EA" w:rsidRDefault="00D9060C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- </w:t>
      </w:r>
      <w:r w:rsidR="003F635F" w:rsidRPr="009323EA">
        <w:rPr>
          <w:rFonts w:ascii="Times New Roman" w:hAnsi="Times New Roman" w:cs="Times New Roman"/>
        </w:rPr>
        <w:t>при температуре окружающей среды -50С°...+50С°.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Объем емкости, м3 - </w:t>
      </w:r>
      <w:r w:rsidR="00C91F48" w:rsidRPr="009323EA">
        <w:rPr>
          <w:rFonts w:ascii="Times New Roman" w:hAnsi="Times New Roman" w:cs="Times New Roman"/>
        </w:rPr>
        <w:t>12</w:t>
      </w:r>
      <w:r w:rsidRPr="009323EA">
        <w:rPr>
          <w:rFonts w:ascii="Times New Roman" w:hAnsi="Times New Roman" w:cs="Times New Roman"/>
        </w:rPr>
        <w:t xml:space="preserve">. 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Уровнемер</w:t>
      </w:r>
      <w:r w:rsidR="00C91F48" w:rsidRPr="009323EA">
        <w:rPr>
          <w:rFonts w:ascii="Times New Roman" w:hAnsi="Times New Roman" w:cs="Times New Roman"/>
        </w:rPr>
        <w:t xml:space="preserve"> в виде рисок на внутренней поверхности емкости</w:t>
      </w:r>
      <w:r w:rsidRPr="009323EA">
        <w:rPr>
          <w:rFonts w:ascii="Times New Roman" w:hAnsi="Times New Roman" w:cs="Times New Roman"/>
        </w:rPr>
        <w:t>. Цена деления шкалы уровнемера 0,2м3, обозначения цифр и рисок шкалы уровнемера изгото</w:t>
      </w:r>
      <w:r w:rsidR="00C91F48" w:rsidRPr="009323EA">
        <w:rPr>
          <w:rFonts w:ascii="Times New Roman" w:hAnsi="Times New Roman" w:cs="Times New Roman"/>
        </w:rPr>
        <w:t>влены методом вырубки на листе.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Люки и отверстия с верхней стороны емкости: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lastRenderedPageBreak/>
        <w:t>1)    люк – лаз с крышкой, запорным механизмом и навесным замком, съёмной защитной решеткой, условный проход люк-лаза Ду-</w:t>
      </w:r>
      <w:r w:rsidR="007414C1" w:rsidRPr="009323EA">
        <w:rPr>
          <w:rFonts w:ascii="Times New Roman" w:hAnsi="Times New Roman" w:cs="Times New Roman"/>
        </w:rPr>
        <w:t>785</w:t>
      </w:r>
      <w:r w:rsidRPr="009323EA">
        <w:rPr>
          <w:rFonts w:ascii="Times New Roman" w:hAnsi="Times New Roman" w:cs="Times New Roman"/>
        </w:rPr>
        <w:t>мм, крышка люка с внутренней стороны усилена ребрами жесткости;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Отверстия со стороны противоположной тягово-сцепному устройству:</w:t>
      </w:r>
    </w:p>
    <w:p w:rsidR="003F635F" w:rsidRPr="009323EA" w:rsidRDefault="003F635F" w:rsidP="00435DA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узел заборный </w:t>
      </w:r>
      <w:r w:rsidR="00435DAD" w:rsidRPr="009323EA">
        <w:rPr>
          <w:rFonts w:ascii="Times New Roman" w:hAnsi="Times New Roman" w:cs="Times New Roman"/>
        </w:rPr>
        <w:t xml:space="preserve">Ду-100мм с БРС 4”, предусмотреть переход с Ду-100мм </w:t>
      </w:r>
      <w:r w:rsidRPr="009323EA">
        <w:rPr>
          <w:rFonts w:ascii="Times New Roman" w:hAnsi="Times New Roman" w:cs="Times New Roman"/>
        </w:rPr>
        <w:t xml:space="preserve">с </w:t>
      </w:r>
      <w:r w:rsidR="00EA3276" w:rsidRPr="009323EA">
        <w:rPr>
          <w:rFonts w:ascii="Times New Roman" w:hAnsi="Times New Roman" w:cs="Times New Roman"/>
        </w:rPr>
        <w:t>фланцем</w:t>
      </w:r>
      <w:r w:rsidRPr="009323EA">
        <w:rPr>
          <w:rFonts w:ascii="Times New Roman" w:hAnsi="Times New Roman" w:cs="Times New Roman"/>
        </w:rPr>
        <w:t xml:space="preserve"> </w:t>
      </w:r>
      <w:r w:rsidR="00EA3276" w:rsidRPr="009323EA">
        <w:rPr>
          <w:rFonts w:ascii="Times New Roman" w:hAnsi="Times New Roman" w:cs="Times New Roman"/>
        </w:rPr>
        <w:t>под</w:t>
      </w:r>
      <w:r w:rsidRPr="009323EA">
        <w:rPr>
          <w:rFonts w:ascii="Times New Roman" w:hAnsi="Times New Roman" w:cs="Times New Roman"/>
        </w:rPr>
        <w:t xml:space="preserve"> 3</w:t>
      </w:r>
      <w:r w:rsidR="00EA3276" w:rsidRPr="009323EA">
        <w:rPr>
          <w:rFonts w:ascii="Times New Roman" w:hAnsi="Times New Roman" w:cs="Times New Roman"/>
        </w:rPr>
        <w:t>МС</w:t>
      </w:r>
      <w:r w:rsidRPr="009323EA">
        <w:rPr>
          <w:rFonts w:ascii="Times New Roman" w:hAnsi="Times New Roman" w:cs="Times New Roman"/>
        </w:rPr>
        <w:t>-</w:t>
      </w:r>
      <w:r w:rsidR="00EA3276" w:rsidRPr="009323EA">
        <w:rPr>
          <w:rFonts w:ascii="Times New Roman" w:hAnsi="Times New Roman" w:cs="Times New Roman"/>
        </w:rPr>
        <w:t>65х21</w:t>
      </w:r>
      <w:r w:rsidR="00435DAD" w:rsidRPr="009323EA">
        <w:rPr>
          <w:rFonts w:ascii="Times New Roman" w:hAnsi="Times New Roman" w:cs="Times New Roman"/>
        </w:rPr>
        <w:t xml:space="preserve"> для подбития рукава 75мм</w:t>
      </w:r>
      <w:r w:rsidRPr="009323EA">
        <w:rPr>
          <w:rFonts w:ascii="Times New Roman" w:hAnsi="Times New Roman" w:cs="Times New Roman"/>
        </w:rPr>
        <w:t>;</w:t>
      </w:r>
    </w:p>
    <w:p w:rsidR="00435DAD" w:rsidRPr="009323EA" w:rsidRDefault="00435DAD" w:rsidP="00435DA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Затвор поворотный Ду-100мм с БРС 4”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Отверстия с нижней стороны емкости: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сливная горловина диаметром 400мм, высотой 300мм и выходным патрубком Ду-100мм с БРС 4” со стороны противоположной тягово-сцепному устройству;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Наличие верхней площадки обслуживания люков, с откидными ограждениями, фиксирующимися в транспортном положении штатными с</w:t>
      </w:r>
      <w:r w:rsidR="00D8200A" w:rsidRPr="009323EA">
        <w:rPr>
          <w:rFonts w:ascii="Times New Roman" w:hAnsi="Times New Roman" w:cs="Times New Roman"/>
        </w:rPr>
        <w:t>р</w:t>
      </w:r>
      <w:r w:rsidRPr="009323EA">
        <w:rPr>
          <w:rFonts w:ascii="Times New Roman" w:hAnsi="Times New Roman" w:cs="Times New Roman"/>
        </w:rPr>
        <w:t xml:space="preserve">едствами. Пол на площадке– металлический просечной </w:t>
      </w:r>
      <w:r w:rsidR="00D8200A" w:rsidRPr="009323EA">
        <w:rPr>
          <w:rFonts w:ascii="Times New Roman" w:hAnsi="Times New Roman" w:cs="Times New Roman"/>
        </w:rPr>
        <w:t>лист, конструкция</w:t>
      </w:r>
      <w:r w:rsidRPr="009323EA">
        <w:rPr>
          <w:rFonts w:ascii="Times New Roman" w:hAnsi="Times New Roman" w:cs="Times New Roman"/>
        </w:rPr>
        <w:t xml:space="preserve"> площадки согласно требований </w:t>
      </w:r>
      <w:proofErr w:type="spellStart"/>
      <w:r w:rsidRPr="009323EA">
        <w:rPr>
          <w:rFonts w:ascii="Times New Roman" w:hAnsi="Times New Roman" w:cs="Times New Roman"/>
        </w:rPr>
        <w:t>ПБвНГП</w:t>
      </w:r>
      <w:proofErr w:type="spellEnd"/>
      <w:r w:rsidRPr="009323EA">
        <w:rPr>
          <w:rFonts w:ascii="Times New Roman" w:hAnsi="Times New Roman" w:cs="Times New Roman"/>
        </w:rPr>
        <w:t>.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Наличие со стороны тягово-сцепного устройства металлического ящика с откидной крышкой для перевозки комплекта приспособлений </w:t>
      </w:r>
      <w:r w:rsidR="00EA3276" w:rsidRPr="009323EA">
        <w:rPr>
          <w:rFonts w:ascii="Times New Roman" w:hAnsi="Times New Roman" w:cs="Times New Roman"/>
        </w:rPr>
        <w:t xml:space="preserve">и кабелей освещения </w:t>
      </w:r>
      <w:r w:rsidRPr="009323EA">
        <w:rPr>
          <w:rFonts w:ascii="Times New Roman" w:hAnsi="Times New Roman" w:cs="Times New Roman"/>
        </w:rPr>
        <w:t xml:space="preserve">(конструкция по согласованию с Заказчиком). 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Наличие лестницы</w:t>
      </w:r>
      <w:r w:rsidR="00EA3276" w:rsidRPr="009323EA">
        <w:rPr>
          <w:rFonts w:ascii="Times New Roman" w:hAnsi="Times New Roman" w:cs="Times New Roman"/>
        </w:rPr>
        <w:t xml:space="preserve"> с</w:t>
      </w:r>
      <w:r w:rsidRPr="009323EA">
        <w:rPr>
          <w:rFonts w:ascii="Times New Roman" w:hAnsi="Times New Roman" w:cs="Times New Roman"/>
        </w:rPr>
        <w:t xml:space="preserve"> перильными ограждениями для подъёма на верхнюю площадку обслуживания, конструкция лестницы согласно требований </w:t>
      </w:r>
      <w:proofErr w:type="spellStart"/>
      <w:r w:rsidRPr="009323EA">
        <w:rPr>
          <w:rFonts w:ascii="Times New Roman" w:hAnsi="Times New Roman" w:cs="Times New Roman"/>
        </w:rPr>
        <w:t>ПБвНГП</w:t>
      </w:r>
      <w:proofErr w:type="spellEnd"/>
      <w:r w:rsidRPr="009323EA">
        <w:rPr>
          <w:rFonts w:ascii="Times New Roman" w:hAnsi="Times New Roman" w:cs="Times New Roman"/>
        </w:rPr>
        <w:t>.</w:t>
      </w:r>
    </w:p>
    <w:p w:rsidR="003F635F" w:rsidRPr="009323EA" w:rsidRDefault="00EA3276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К</w:t>
      </w:r>
      <w:r w:rsidR="003F635F" w:rsidRPr="009323EA">
        <w:rPr>
          <w:rFonts w:ascii="Times New Roman" w:hAnsi="Times New Roman" w:cs="Times New Roman"/>
        </w:rPr>
        <w:t xml:space="preserve">ронштейны для наматывания заземления L-50 метров, с правой (по ходу движения) стороны, в виде четырех </w:t>
      </w:r>
      <w:r w:rsidRPr="009323EA">
        <w:rPr>
          <w:rFonts w:ascii="Times New Roman" w:hAnsi="Times New Roman" w:cs="Times New Roman"/>
        </w:rPr>
        <w:t>крюков,</w:t>
      </w:r>
      <w:r w:rsidR="003F635F" w:rsidRPr="009323EA">
        <w:rPr>
          <w:rFonts w:ascii="Times New Roman" w:hAnsi="Times New Roman" w:cs="Times New Roman"/>
        </w:rPr>
        <w:t xml:space="preserve"> расположенных на расстоянии один метр друг от друга (крайние крюки «Г»-формы, остальные «Т» формы). К раме приварить болт заземления М16х50мм., с установленными на нем двумя шайбами и двумя гайками. Укомплектовать емкость заземляющим </w:t>
      </w:r>
      <w:r w:rsidRPr="009323EA">
        <w:rPr>
          <w:rFonts w:ascii="Times New Roman" w:hAnsi="Times New Roman" w:cs="Times New Roman"/>
        </w:rPr>
        <w:t>проводником (</w:t>
      </w:r>
      <w:r w:rsidR="003E1DA5">
        <w:rPr>
          <w:rFonts w:ascii="Times New Roman" w:hAnsi="Times New Roman" w:cs="Times New Roman"/>
        </w:rPr>
        <w:t>медный</w:t>
      </w:r>
      <w:r w:rsidR="003F635F" w:rsidRPr="009323EA">
        <w:rPr>
          <w:rFonts w:ascii="Times New Roman" w:hAnsi="Times New Roman" w:cs="Times New Roman"/>
        </w:rPr>
        <w:t xml:space="preserve"> </w:t>
      </w:r>
      <w:r w:rsidR="003E1DA5">
        <w:rPr>
          <w:rFonts w:ascii="Times New Roman" w:hAnsi="Times New Roman" w:cs="Times New Roman"/>
        </w:rPr>
        <w:t>провод</w:t>
      </w:r>
      <w:r w:rsidR="003F635F" w:rsidRPr="009323EA">
        <w:rPr>
          <w:rFonts w:ascii="Times New Roman" w:hAnsi="Times New Roman" w:cs="Times New Roman"/>
        </w:rPr>
        <w:t xml:space="preserve"> Ø 6мм, длинной – 50м с приваренными с двух сторон клеммами заземления. При поставке заземляющий проводник должен быть установлен на штатное место);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Габаритные размеры емкости: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ширина не более, мм - 2</w:t>
      </w:r>
      <w:r w:rsidR="008043AE">
        <w:rPr>
          <w:rFonts w:ascii="Times New Roman" w:hAnsi="Times New Roman" w:cs="Times New Roman"/>
        </w:rPr>
        <w:t>3</w:t>
      </w:r>
      <w:r w:rsidRPr="009323EA">
        <w:rPr>
          <w:rFonts w:ascii="Times New Roman" w:hAnsi="Times New Roman" w:cs="Times New Roman"/>
        </w:rPr>
        <w:t>00;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высота при транспортировке не более, мм </w:t>
      </w:r>
      <w:r w:rsidR="00EA3276" w:rsidRPr="009323EA">
        <w:rPr>
          <w:rFonts w:ascii="Times New Roman" w:hAnsi="Times New Roman" w:cs="Times New Roman"/>
        </w:rPr>
        <w:t>–</w:t>
      </w:r>
      <w:r w:rsidRPr="009323EA">
        <w:rPr>
          <w:rFonts w:ascii="Times New Roman" w:hAnsi="Times New Roman" w:cs="Times New Roman"/>
        </w:rPr>
        <w:t xml:space="preserve"> </w:t>
      </w:r>
      <w:r w:rsidR="007414C1" w:rsidRPr="009323EA">
        <w:rPr>
          <w:rFonts w:ascii="Times New Roman" w:hAnsi="Times New Roman" w:cs="Times New Roman"/>
        </w:rPr>
        <w:t>2</w:t>
      </w:r>
      <w:r w:rsidR="008043AE">
        <w:rPr>
          <w:rFonts w:ascii="Times New Roman" w:hAnsi="Times New Roman" w:cs="Times New Roman"/>
        </w:rPr>
        <w:t>3</w:t>
      </w:r>
      <w:r w:rsidR="007414C1" w:rsidRPr="009323EA">
        <w:rPr>
          <w:rFonts w:ascii="Times New Roman" w:hAnsi="Times New Roman" w:cs="Times New Roman"/>
        </w:rPr>
        <w:t>00</w:t>
      </w:r>
    </w:p>
    <w:p w:rsidR="00EA3276" w:rsidRPr="009323EA" w:rsidRDefault="00EA3276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Длина </w:t>
      </w:r>
      <w:r w:rsidR="008E4457">
        <w:rPr>
          <w:rFonts w:ascii="Times New Roman" w:hAnsi="Times New Roman" w:cs="Times New Roman"/>
        </w:rPr>
        <w:t>–</w:t>
      </w:r>
      <w:r w:rsidRPr="009323EA">
        <w:rPr>
          <w:rFonts w:ascii="Times New Roman" w:hAnsi="Times New Roman" w:cs="Times New Roman"/>
        </w:rPr>
        <w:t xml:space="preserve"> </w:t>
      </w:r>
      <w:r w:rsidR="008E4457">
        <w:rPr>
          <w:rFonts w:ascii="Times New Roman" w:hAnsi="Times New Roman" w:cs="Times New Roman"/>
        </w:rPr>
        <w:t>не более 6000 мм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Емкость должна быть </w:t>
      </w:r>
      <w:proofErr w:type="spellStart"/>
      <w:r w:rsidRPr="009323EA">
        <w:rPr>
          <w:rFonts w:ascii="Times New Roman" w:hAnsi="Times New Roman" w:cs="Times New Roman"/>
        </w:rPr>
        <w:t>огрунтована</w:t>
      </w:r>
      <w:proofErr w:type="spellEnd"/>
      <w:r w:rsidRPr="009323EA">
        <w:rPr>
          <w:rFonts w:ascii="Times New Roman" w:hAnsi="Times New Roman" w:cs="Times New Roman"/>
        </w:rPr>
        <w:t xml:space="preserve"> и покрыта двухслойным полимерным покрытием. Цвета </w:t>
      </w:r>
      <w:r w:rsidR="00EA3276" w:rsidRPr="009323EA">
        <w:rPr>
          <w:rFonts w:ascii="Times New Roman" w:hAnsi="Times New Roman" w:cs="Times New Roman"/>
        </w:rPr>
        <w:t>покрытия и</w:t>
      </w:r>
      <w:r w:rsidRPr="009323EA">
        <w:rPr>
          <w:rFonts w:ascii="Times New Roman" w:hAnsi="Times New Roman" w:cs="Times New Roman"/>
        </w:rPr>
        <w:t xml:space="preserve"> логотипы должны соответствовать методическим указаниям ОАО «УДС нефть» при оформлении производственных </w:t>
      </w:r>
      <w:r w:rsidR="00EA3276" w:rsidRPr="009323EA">
        <w:rPr>
          <w:rFonts w:ascii="Times New Roman" w:hAnsi="Times New Roman" w:cs="Times New Roman"/>
        </w:rPr>
        <w:t>объектов</w:t>
      </w:r>
      <w:r w:rsidRPr="009323EA">
        <w:rPr>
          <w:rFonts w:ascii="Times New Roman" w:hAnsi="Times New Roman" w:cs="Times New Roman"/>
        </w:rPr>
        <w:t xml:space="preserve"> в дочерних обществах. До начала изготовления форму, размер, цвет и способ нанесения фирменного стиля и окраски согласовать с заказчиком. Реклама изготовителя не допускается.</w:t>
      </w:r>
    </w:p>
    <w:p w:rsidR="003F635F" w:rsidRPr="009323EA" w:rsidRDefault="003F635F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По периметру емкости должна быть нанесена светоотражающая маркировка, светоотражающим маркировочным материалом, в </w:t>
      </w:r>
      <w:r w:rsidR="00EA3276" w:rsidRPr="009323EA">
        <w:rPr>
          <w:rFonts w:ascii="Times New Roman" w:hAnsi="Times New Roman" w:cs="Times New Roman"/>
        </w:rPr>
        <w:t>виде прерывистой горизонтальной</w:t>
      </w:r>
      <w:r w:rsidRPr="009323EA">
        <w:rPr>
          <w:rFonts w:ascii="Times New Roman" w:hAnsi="Times New Roman" w:cs="Times New Roman"/>
        </w:rPr>
        <w:t xml:space="preserve"> полосы желтого цвета. </w:t>
      </w:r>
      <w:r w:rsidR="00EA3276" w:rsidRPr="009323EA">
        <w:rPr>
          <w:rFonts w:ascii="Times New Roman" w:hAnsi="Times New Roman" w:cs="Times New Roman"/>
        </w:rPr>
        <w:t>Применение для</w:t>
      </w:r>
      <w:r w:rsidRPr="009323EA">
        <w:rPr>
          <w:rFonts w:ascii="Times New Roman" w:hAnsi="Times New Roman" w:cs="Times New Roman"/>
        </w:rPr>
        <w:t xml:space="preserve"> изготовления светоотражающей </w:t>
      </w:r>
      <w:r w:rsidR="00EA3276" w:rsidRPr="009323EA">
        <w:rPr>
          <w:rFonts w:ascii="Times New Roman" w:hAnsi="Times New Roman" w:cs="Times New Roman"/>
        </w:rPr>
        <w:t>маркировки лакокрасочных</w:t>
      </w:r>
      <w:r w:rsidRPr="009323EA">
        <w:rPr>
          <w:rFonts w:ascii="Times New Roman" w:hAnsi="Times New Roman" w:cs="Times New Roman"/>
        </w:rPr>
        <w:t xml:space="preserve"> покрытий </w:t>
      </w:r>
      <w:r w:rsidR="00EA3276" w:rsidRPr="009323EA">
        <w:rPr>
          <w:rFonts w:ascii="Times New Roman" w:hAnsi="Times New Roman" w:cs="Times New Roman"/>
        </w:rPr>
        <w:t>не допускается</w:t>
      </w:r>
      <w:r w:rsidRPr="009323EA">
        <w:rPr>
          <w:rFonts w:ascii="Times New Roman" w:hAnsi="Times New Roman" w:cs="Times New Roman"/>
        </w:rPr>
        <w:t>.</w:t>
      </w:r>
    </w:p>
    <w:p w:rsidR="00D8200A" w:rsidRPr="009323EA" w:rsidRDefault="00D8200A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>Комплектность приспособлений</w:t>
      </w:r>
    </w:p>
    <w:p w:rsidR="00D8200A" w:rsidRPr="009323EA" w:rsidRDefault="00D8200A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1)    </w:t>
      </w:r>
      <w:r w:rsidR="00EA3276" w:rsidRPr="009323EA">
        <w:rPr>
          <w:rFonts w:ascii="Times New Roman" w:hAnsi="Times New Roman" w:cs="Times New Roman"/>
        </w:rPr>
        <w:t>Фонарь взрывозащищенного исполнения</w:t>
      </w:r>
      <w:r w:rsidRPr="009323EA">
        <w:rPr>
          <w:rFonts w:ascii="Times New Roman" w:hAnsi="Times New Roman" w:cs="Times New Roman"/>
        </w:rPr>
        <w:t>;</w:t>
      </w:r>
    </w:p>
    <w:p w:rsidR="009D0160" w:rsidRPr="009323EA" w:rsidRDefault="00D8200A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2)    </w:t>
      </w:r>
      <w:r w:rsidR="00EA3276" w:rsidRPr="009323EA">
        <w:rPr>
          <w:rFonts w:ascii="Times New Roman" w:hAnsi="Times New Roman" w:cs="Times New Roman"/>
        </w:rPr>
        <w:t>Фланец под ЗМС 65*21</w:t>
      </w:r>
      <w:r w:rsidRPr="009323EA">
        <w:rPr>
          <w:rFonts w:ascii="Times New Roman" w:hAnsi="Times New Roman" w:cs="Times New Roman"/>
        </w:rPr>
        <w:t xml:space="preserve">; </w:t>
      </w:r>
    </w:p>
    <w:p w:rsidR="00EA3276" w:rsidRPr="009323EA" w:rsidRDefault="00EA3276" w:rsidP="009D0160">
      <w:pPr>
        <w:jc w:val="both"/>
        <w:rPr>
          <w:rFonts w:ascii="Times New Roman" w:hAnsi="Times New Roman" w:cs="Times New Roman"/>
        </w:rPr>
      </w:pPr>
      <w:r w:rsidRPr="009323EA">
        <w:rPr>
          <w:rFonts w:ascii="Times New Roman" w:hAnsi="Times New Roman" w:cs="Times New Roman"/>
        </w:rPr>
        <w:t xml:space="preserve">3)     Щит </w:t>
      </w:r>
      <w:proofErr w:type="spellStart"/>
      <w:proofErr w:type="gramStart"/>
      <w:r w:rsidRPr="009323EA">
        <w:rPr>
          <w:rFonts w:ascii="Times New Roman" w:hAnsi="Times New Roman" w:cs="Times New Roman"/>
        </w:rPr>
        <w:t>эл.распределения</w:t>
      </w:r>
      <w:proofErr w:type="spellEnd"/>
      <w:proofErr w:type="gramEnd"/>
    </w:p>
    <w:p w:rsidR="007414C1" w:rsidRPr="007414C1" w:rsidRDefault="007414C1" w:rsidP="009D0160">
      <w:pPr>
        <w:jc w:val="both"/>
        <w:rPr>
          <w:rFonts w:ascii="Times New Roman" w:hAnsi="Times New Roman" w:cs="Times New Roman"/>
          <w:lang w:val="en-US"/>
        </w:rPr>
      </w:pPr>
      <w:r w:rsidRPr="009323EA">
        <w:rPr>
          <w:rFonts w:ascii="Times New Roman" w:hAnsi="Times New Roman" w:cs="Times New Roman"/>
        </w:rPr>
        <w:t>4)     БРС 2</w:t>
      </w:r>
      <w:r w:rsidRPr="009323EA">
        <w:rPr>
          <w:rFonts w:ascii="Times New Roman" w:hAnsi="Times New Roman" w:cs="Times New Roman"/>
          <w:lang w:val="en-US"/>
        </w:rPr>
        <w:t>”</w:t>
      </w:r>
    </w:p>
    <w:p w:rsidR="00D9060C" w:rsidRDefault="00EE7FC8" w:rsidP="00AD3B57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4FB3EA1" wp14:editId="5099E3D8">
            <wp:extent cx="6093272" cy="4140403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214" t="9923" r="67367" b="52126"/>
                    <a:stretch/>
                  </pic:blipFill>
                  <pic:spPr bwMode="auto">
                    <a:xfrm>
                      <a:off x="0" y="0"/>
                      <a:ext cx="6110050" cy="41518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9060C" w:rsidSect="00AD3B5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938A9"/>
    <w:multiLevelType w:val="hybridMultilevel"/>
    <w:tmpl w:val="D2CEB8D2"/>
    <w:lvl w:ilvl="0" w:tplc="9984F274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E75A1"/>
    <w:multiLevelType w:val="hybridMultilevel"/>
    <w:tmpl w:val="A1A23768"/>
    <w:lvl w:ilvl="0" w:tplc="1B2CD2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8BA"/>
    <w:rsid w:val="00157741"/>
    <w:rsid w:val="00194E14"/>
    <w:rsid w:val="001F688D"/>
    <w:rsid w:val="00245463"/>
    <w:rsid w:val="003045C1"/>
    <w:rsid w:val="00334FC0"/>
    <w:rsid w:val="003E1DA5"/>
    <w:rsid w:val="003F635F"/>
    <w:rsid w:val="00435DAD"/>
    <w:rsid w:val="00525135"/>
    <w:rsid w:val="0055498D"/>
    <w:rsid w:val="005D641F"/>
    <w:rsid w:val="006207C7"/>
    <w:rsid w:val="00701EAB"/>
    <w:rsid w:val="007414C1"/>
    <w:rsid w:val="007752E3"/>
    <w:rsid w:val="007B03C2"/>
    <w:rsid w:val="007D1493"/>
    <w:rsid w:val="00801140"/>
    <w:rsid w:val="008043AE"/>
    <w:rsid w:val="008E1A1E"/>
    <w:rsid w:val="008E4457"/>
    <w:rsid w:val="009323EA"/>
    <w:rsid w:val="009D0160"/>
    <w:rsid w:val="00A631F2"/>
    <w:rsid w:val="00AD3B57"/>
    <w:rsid w:val="00B358BA"/>
    <w:rsid w:val="00B5143C"/>
    <w:rsid w:val="00C0245D"/>
    <w:rsid w:val="00C91F48"/>
    <w:rsid w:val="00D14107"/>
    <w:rsid w:val="00D8200A"/>
    <w:rsid w:val="00D9060C"/>
    <w:rsid w:val="00E019AC"/>
    <w:rsid w:val="00E21444"/>
    <w:rsid w:val="00EA3276"/>
    <w:rsid w:val="00EB1548"/>
    <w:rsid w:val="00EE7FC8"/>
    <w:rsid w:val="00FF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B9A67"/>
  <w15:chartTrackingRefBased/>
  <w15:docId w15:val="{976A9A84-8F60-49E0-9549-E556AD37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6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D0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01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Тюфтин Кирилл Владимирович</dc:creator>
  <cp:keywords/>
  <dc:description/>
  <cp:lastModifiedBy>Тюфтин Кирилл Владимирович</cp:lastModifiedBy>
  <cp:revision>47</cp:revision>
  <dcterms:created xsi:type="dcterms:W3CDTF">2023-08-25T11:00:00Z</dcterms:created>
  <dcterms:modified xsi:type="dcterms:W3CDTF">2024-10-01T13:32:00Z</dcterms:modified>
</cp:coreProperties>
</file>